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numPr>
          <w:ilvl w:val="0"/>
          <w:numId w:val="1"/>
        </w:numPr>
        <w:bidi w:val="0"/>
        <w:spacing w:lineRule="auto" w:line="276" w:before="0" w:after="0"/>
        <w:ind w:hanging="0" w:start="0" w:end="0"/>
        <w:jc w:val="center"/>
        <w:rPr>
          <w:sz w:val="19"/>
          <w:szCs w:val="19"/>
        </w:rPr>
      </w:pPr>
      <w:r>
        <w:rPr>
          <w:sz w:val="19"/>
          <w:szCs w:val="19"/>
        </w:rPr>
      </w:r>
    </w:p>
    <w:p>
      <w:pPr>
        <w:pStyle w:val="Heading1"/>
        <w:numPr>
          <w:ilvl w:val="0"/>
          <w:numId w:val="1"/>
        </w:numPr>
        <w:rPr/>
      </w:pPr>
      <w:r>
        <w:rPr/>
        <w:t xml:space="preserve"> </w:t>
      </w:r>
      <w:r>
        <w:rPr/>
        <w:t>INTRODUCTION</w:t>
      </w:r>
    </w:p>
    <w:p>
      <w:pPr>
        <w:pStyle w:val="Normal"/>
        <w:numPr>
          <w:ilvl w:val="0"/>
          <w:numId w:val="1"/>
        </w:numPr>
        <w:rPr/>
      </w:pPr>
      <w:r>
        <w:rPr/>
        <w:t xml:space="preserve">       </w:t>
      </w:r>
      <w:r>
        <w:rPr/>
        <w:t>Bruce R. McConkie dit chez BYU le 4 janvier 1972 : « Les Discours sur la Foi sont des écritures éternelles. Ils ont été écrits par le pouvoir du Saint-Esprit, par l'esprit d'inspiration. C’est une écriture ; c’est une vérité. » Mais les églises de la Restauration rejettent les Discours sur la Foi en tant qu’Ecriture.</w:t>
      </w:r>
    </w:p>
    <w:p>
      <w:pPr>
        <w:pStyle w:val="Normal"/>
        <w:numPr>
          <w:ilvl w:val="0"/>
          <w:numId w:val="1"/>
        </w:numPr>
        <w:rPr/>
      </w:pPr>
      <w:r>
        <w:rPr/>
        <w:t xml:space="preserve">       </w:t>
      </w:r>
      <w:r>
        <w:rPr/>
        <w:t>Au mois de september 1830 le Seigneur expliqua : « Car tout doit se faire avec ordre et par consentement commun dans l’Eglise… » (D&amp;A 28:13). C’était le processus, par example en october 1978, lorsque les sections 137 &amp; 138 furent ajoutées aux Doctrine et Alliances. Les Discours sur la foi le suivirent aussi en août 1835. Dans le deuxième volume des Revelations and Translations, vous pouvez les lire à partir de la page 565 de ce volume. Il s'agit d'une reproduction de l'édition de 1835 des Doctrine et Alliances, qui fut canonisée par le vote de l'Eglise. C'est cette édition qui, dans la préface, Joseph Smith se porte garant de tous les éléments de doctrine (le Discours sur la foi étant la « Doctrine » des Doctrine et Alliances) contenus dans les Discours sur la foi. Dans l'édition de 1844 qui serait publiée plus tard, ils ne passeraient pas encore par l'exercice de maintien des Discours sur la foi, car ils avaient déjà été canonisés. On a simplement ajouté et développé les révélations reçues entre 1835 et 1844.</w:t>
      </w:r>
    </w:p>
    <w:p>
      <w:pPr>
        <w:pStyle w:val="Pre-BlockQuote"/>
        <w:numPr>
          <w:ilvl w:val="0"/>
          <w:numId w:val="1"/>
        </w:numPr>
        <w:rPr/>
      </w:pPr>
      <w:r>
        <w:rPr/>
        <w:t xml:space="preserve">       </w:t>
      </w:r>
      <w:r>
        <w:rPr/>
        <w:t>A partir de la page 566, et en passant par la page 567 des Joseph Smith Papers, 2e volume de Revelations and Translations, il y a un récit de la façon dont les Discours sur la foi furent canonisés le 17 août 1835 lorsque les Doctrine et Alliances furent approuvées par l'Eglise comme l’Ecriture. Le récit commence avec le président Cowdery, qui était coprésident de l'Eglise à ce moment-là.</w:t>
      </w:r>
      <w:r>
        <w:rPr>
          <w:rFonts w:eastAsia="EB Garamond" w:cs="EB Garamond"/>
          <w:b w:val="false"/>
          <w:bCs w:val="false"/>
          <w:color w:val="000000"/>
          <w:sz w:val="19"/>
          <w:szCs w:val="19"/>
        </w:rPr>
        <w:t xml:space="preserve">    </w:t>
      </w:r>
    </w:p>
    <w:p>
      <w:pPr>
        <w:sectPr>
          <w:type w:val="oddPage"/>
          <w:pgSz w:w="8391" w:h="11906"/>
          <w:pgMar w:left="1458" w:right="831" w:gutter="0" w:header="0" w:top="1011" w:footer="0" w:bottom="835"/>
          <w:pgNumType w:fmt="decimal"/>
          <w:formProt w:val="false"/>
          <w:textDirection w:val="lrTb"/>
        </w:sectPr>
        <w:pStyle w:val="BlockQuote1"/>
        <w:numPr>
          <w:ilvl w:val="0"/>
          <w:numId w:val="1"/>
        </w:numPr>
        <w:rPr/>
      </w:pPr>
      <w:r>
        <w:rPr/>
        <w:t xml:space="preserve">       </w:t>
      </w:r>
      <w:r>
        <w:rPr/>
        <w:t xml:space="preserve">Le président Cowdery se leva et présenta le « livre de doctrine et d'alliances de l'église des saints des derniers jours », au nom du comité : il fut suivi par le président Rigdon, qui expliqua la manière dont ils avaient l'intention d'obtenir la voix de l'assemblée pour ou contre ledit livre : les deux autres commissions, nommées ci-dessus, étaient absentes. Selon cet arrangement, WW Phelps avait établi que le livre présenté à l'assemblée était vrai. Le président John Whitmer se leva également et témoigna que c'était vrai. John Smith, à la tête du grand conseil de Kirtland, rendit témoignage que les révélations dans ce livre étaient vraies…Levi Jackman, à la tête du grand conseil de l'église du Missouri, témoigna que les révélations dans ce livre étaient vraies, et ledit grand conseil du Missouri les accepta et reconnut comme la doctrine et les alliances de leur foi, par un vote unanime. Le </w:t>
      </w:r>
    </w:p>
    <w:p>
      <w:pPr>
        <w:pStyle w:val="BlockQuote1"/>
        <w:numPr>
          <w:ilvl w:val="0"/>
          <w:numId w:val="1"/>
        </w:numPr>
        <w:rPr/>
      </w:pPr>
      <w:r>
        <w:rPr/>
        <w:t>président WW Phelps lut ensuite le témoignage écrit des Douze comme suit. Le témoignage des témoins du livre des commandements du Seigneur, qu'il donna à son église par l'intermédiaire de Joseph Smith, fils, qui fut nommé par la voix de l'église à cet effet : « Nous nous sentons donc prêts à rendre témoignage à tout le monde de l'humanité, à chaque créature sur la face de toute la terre, et sur les îles de la mer, que le Seigneur rendit à nos âmes, par le Saint-Esprit répandu sur nous, que ces commandements furent donnés par l'inspiration de Dieu, et sont profitables à tous les hommes, et sont en vérité vrais… »</w:t>
      </w:r>
    </w:p>
    <w:p>
      <w:pPr>
        <w:pStyle w:val="BlockQuote-End"/>
        <w:numPr>
          <w:ilvl w:val="0"/>
          <w:numId w:val="1"/>
        </w:numPr>
        <w:rPr/>
      </w:pPr>
      <w:r>
        <w:rPr/>
        <w:t xml:space="preserve">       </w:t>
      </w:r>
      <w:r>
        <w:rPr/>
        <w:t>Frère Leonard Rich rendit témoignage de la vérité du livre et le conseil des soixante-dix l'accepta et le reconnu comme la doctrine et les alliances de leur foi, par un vote unanime. L'évêque NK Whitney rendit compte de la vérité du livre et, avec ses conseillers, l’acceptèrent et le reconnurent comme étant la doctrine et les alliances de leur foi, à l'unanimité. L'évêque par intérim, John Corrill, rendit témoignage de la vérité du livre…Le président par intérim, John Gould, rendit son témoignage en faveur du livre, et avec les anciens itinérants, l'acceptèrent et le reconnurent comme étant la doctrine et les alliances de leur foi, à l'unanimité. Ira Ames, président par intérim des prêtres, rendit son témoignage en faveur du livre, et avec les prêtres, l’acceptèrent et le reconnurent comme la doctrine et les alliances de leur foi, par un vote unanime. Erastus Babbitt, président par intérim des instructeurs, rendit son témoignage en faveur du livre, et ils l'acceptèrent et le reconnurent comme la doctrine et les alliances de leur foi, par un vote unanime. Wm. Burges, président par intérim des diacres, rendit témoignage de la vérité du livre, et ils l'acceptèrent et le reconnurent comme la doctrine et les alliances de leur foi, par un vote unanime. Le vénérable président, Thomas Gates, rendit compte ensuite de la vérité du livre, et avec ses cinq assistants à tête d'argent, et toute la congrégation, l'acceptèrent et le reconnurent comme la doctrine et les alliances de leur foi, par un vote unanime. Les différentes autorités et l'assemblée générale, à l'unanimité, acceptèrent les travaux du comité.</w:t>
      </w:r>
    </w:p>
    <w:p>
      <w:pPr>
        <w:pStyle w:val="Normal"/>
        <w:numPr>
          <w:ilvl w:val="0"/>
          <w:numId w:val="1"/>
        </w:numPr>
        <w:rPr/>
      </w:pPr>
      <w:r>
        <w:rPr/>
        <w:t xml:space="preserve">       </w:t>
      </w:r>
      <w:r>
        <w:rPr/>
        <w:t>Si vous obtenez une copie de l'édition de 1835, vous lirez tout cela dans le livre. Il est annexé dans l'édition imprimée au verso, comme dernière chose – le témoignage de ces personnes.</w:t>
      </w:r>
    </w:p>
    <w:p>
      <w:pPr>
        <w:sectPr>
          <w:type w:val="evenPage"/>
          <w:pgSz w:w="8391" w:h="11906"/>
          <w:pgMar w:left="831" w:right="891" w:gutter="0" w:header="0" w:top="1011" w:footer="0" w:bottom="835"/>
          <w:pgNumType w:fmt="decimal"/>
          <w:formProt w:val="false"/>
          <w:textDirection w:val="lrTb"/>
        </w:sectPr>
        <w:pStyle w:val="Normal"/>
        <w:numPr>
          <w:ilvl w:val="0"/>
          <w:numId w:val="1"/>
        </w:numPr>
        <w:rPr/>
      </w:pPr>
      <w:r>
        <w:rPr/>
        <w:t xml:space="preserve">       </w:t>
      </w:r>
    </w:p>
    <w:p>
      <w:pPr>
        <w:pStyle w:val="Heading1"/>
        <w:numPr>
          <w:ilvl w:val="0"/>
          <w:numId w:val="1"/>
        </w:numPr>
        <w:rPr/>
      </w:pPr>
      <w:r>
        <w:rPr>
          <w:lang w:val="en-US"/>
        </w:rPr>
        <w:t>PRÉFAC</w:t>
      </w:r>
      <w:r>
        <w:rPr>
          <w:lang w:val="en-US"/>
        </w:rPr>
        <w:t>E</w:t>
      </w:r>
    </w:p>
    <w:p>
      <w:pPr>
        <w:pStyle w:val="Normal"/>
        <w:numPr>
          <w:ilvl w:val="0"/>
          <w:numId w:val="1"/>
        </w:numPr>
        <w:rPr/>
      </w:pPr>
      <w:r>
        <w:rPr>
          <w:lang w:val="en-US"/>
        </w:rPr>
        <w:t>Une</w:t>
      </w:r>
      <w:r>
        <w:rPr/>
        <w:t xml:space="preserve"> préface aux Doctrine et Alliances de 1835 écrite le 17 février 1835 et signée par les quatre membres du comité qui a compilé le volume.</w:t>
      </w:r>
    </w:p>
    <w:p>
      <w:pPr>
        <w:pStyle w:val="Normal"/>
        <w:numPr>
          <w:ilvl w:val="0"/>
          <w:numId w:val="1"/>
        </w:numPr>
        <w:rPr/>
      </w:pPr>
      <w:r>
        <w:rPr/>
        <w:t>Aux membres de l'église des saints des derniers jours –</w:t>
      </w:r>
    </w:p>
    <w:p>
      <w:pPr>
        <w:pStyle w:val="Normal"/>
        <w:numPr>
          <w:ilvl w:val="0"/>
          <w:numId w:val="1"/>
        </w:numPr>
        <w:rPr/>
      </w:pPr>
      <w:r>
        <w:rPr>
          <w:rFonts w:eastAsia="EB Garamond" w:cs="EB Garamond"/>
          <w:b w:val="false"/>
          <w:bCs w:val="false"/>
          <w:color w:val="000000"/>
          <w:sz w:val="19"/>
          <w:szCs w:val="19"/>
        </w:rPr>
        <w:t>Chers frères :</w:t>
      </w:r>
    </w:p>
    <w:p>
      <w:pPr>
        <w:pStyle w:val="Normal"/>
        <w:numPr>
          <w:ilvl w:val="0"/>
          <w:numId w:val="1"/>
        </w:numPr>
        <w:rPr/>
      </w:pPr>
      <w:r>
        <w:rPr/>
        <w:t>Nous estimons qu'il n'est pas nécessaire de vous divertir avec une longue préface au volume suivant, mais simplement pour dire qu'il contient, en bref, les principaux articles de la religion que nous professâmes croire.</w:t>
      </w:r>
    </w:p>
    <w:p>
      <w:pPr>
        <w:pStyle w:val="Normal"/>
        <w:widowControl w:val="false"/>
        <w:numPr>
          <w:ilvl w:val="0"/>
          <w:numId w:val="1"/>
        </w:numPr>
        <w:bidi w:val="0"/>
        <w:spacing w:lineRule="auto" w:line="276" w:before="0" w:after="0"/>
        <w:ind w:hanging="0" w:start="0" w:end="0"/>
        <w:jc w:val="center"/>
        <w:rPr>
          <w:sz w:val="19"/>
          <w:szCs w:val="19"/>
        </w:rPr>
      </w:pPr>
      <w:r>
        <w:rPr>
          <w:rFonts w:eastAsia="EB Garamond" w:cs="EB Garamond"/>
          <w:b w:val="false"/>
          <w:bCs w:val="false"/>
          <w:color w:val="000000"/>
          <w:sz w:val="19"/>
          <w:szCs w:val="19"/>
        </w:rPr>
        <w:t>On trouvera que la prem</w:t>
      </w:r>
    </w:p>
    <w:sectPr>
      <w:type w:val="oddPage"/>
      <w:pgSz w:w="8391" w:h="11906"/>
      <w:pgMar w:left="1458" w:right="831" w:gutter="0" w:header="0" w:top="1011" w:footer="0" w:bottom="835"/>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dobe Garamond Pro">
    <w:charset w:val="00" w:characterSet="windows-1252"/>
    <w:family w:val="roman"/>
    <w:pitch w:val="variable"/>
  </w:font>
  <w:font w:name="Adobe Garamond Pro">
    <w:charset w:val="00" w:characterSet="windows-1252"/>
    <w:family w:val="swiss"/>
    <w:pitch w:val="variable"/>
  </w:font>
  <w:font w:name="Liberation Sans">
    <w:altName w:val="Arial"/>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ind w:firstLine="363"/>
      <w:jc w:val="both"/>
    </w:pPr>
    <w:rPr>
      <w:rFonts w:ascii="Adobe Garamond Pro" w:hAnsi="Adobe Garamond Pro" w:eastAsia="NSimSun" w:cs="Lucida Sans"/>
      <w:color w:val="auto"/>
      <w:kern w:val="2"/>
      <w:sz w:val="19"/>
      <w:szCs w:val="24"/>
      <w:lang w:val="fr-FR" w:eastAsia="zh-CN" w:bidi="hi-IN"/>
    </w:rPr>
  </w:style>
  <w:style w:type="paragraph" w:styleId="Heading1">
    <w:name w:val="Heading 1"/>
    <w:basedOn w:val="Heading"/>
    <w:next w:val="BodyText"/>
    <w:qFormat/>
    <w:pPr>
      <w:numPr>
        <w:ilvl w:val="0"/>
        <w:numId w:val="1"/>
      </w:numPr>
      <w:spacing w:before="0" w:after="227"/>
      <w:jc w:val="center"/>
      <w:outlineLvl w:val="0"/>
    </w:pPr>
    <w:rPr>
      <w:rFonts w:ascii="Adobe Garamond Pro" w:hAnsi="Adobe Garamond Pro"/>
      <w:b w:val="false"/>
      <w:bCs/>
      <w:sz w:val="32"/>
      <w:szCs w:val="36"/>
    </w:rPr>
  </w:style>
  <w:style w:type="paragraph" w:styleId="Heading2">
    <w:name w:val="Heading 2"/>
    <w:basedOn w:val="Heading"/>
    <w:next w:val="BodyText"/>
    <w:qFormat/>
    <w:pPr>
      <w:numPr>
        <w:ilvl w:val="1"/>
        <w:numId w:val="1"/>
      </w:numPr>
      <w:spacing w:before="0" w:after="227"/>
      <w:jc w:val="center"/>
      <w:outlineLvl w:val="1"/>
    </w:pPr>
    <w:rPr>
      <w:rFonts w:ascii="Adobe Garamond Pro" w:hAnsi="Adobe Garamond Pro"/>
      <w:b w:val="false"/>
      <w:bCs/>
      <w:sz w:val="24"/>
      <w:szCs w:val="32"/>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lockQuotation">
    <w:name w:val="Block Quotation"/>
    <w:basedOn w:val="Normal"/>
    <w:qFormat/>
    <w:pPr>
      <w:spacing w:before="0" w:after="170"/>
      <w:ind w:hanging="0" w:start="363" w:end="363"/>
    </w:pPr>
    <w:rPr/>
  </w:style>
  <w:style w:type="paragraph" w:styleId="BlockQuote1">
    <w:name w:val="Block Quote1"/>
    <w:basedOn w:val="BlockQuotation"/>
    <w:qFormat/>
    <w:pPr>
      <w:spacing w:before="0" w:after="0"/>
    </w:pPr>
    <w:rPr/>
  </w:style>
  <w:style w:type="paragraph" w:styleId="BlockQuote2">
    <w:name w:val="Block Quote 2"/>
    <w:basedOn w:val="BlockQuotation"/>
    <w:qFormat/>
    <w:pPr>
      <w:spacing w:before="0" w:after="0"/>
    </w:pPr>
    <w:rPr/>
  </w:style>
  <w:style w:type="paragraph" w:styleId="BlockQuote-End">
    <w:name w:val="Block Quote-End"/>
    <w:basedOn w:val="BlockQuotation"/>
    <w:qFormat/>
    <w:pPr>
      <w:ind w:firstLine="363"/>
    </w:pPr>
    <w:rPr/>
  </w:style>
  <w:style w:type="paragraph" w:styleId="Pre-BlockQuote">
    <w:name w:val="Pre-Block Quote"/>
    <w:basedOn w:val="BlockQuotation"/>
    <w:next w:val="BlockQuotation"/>
    <w:qFormat/>
    <w:pPr>
      <w:ind w:firstLine="363" w:start="0" w:end="0"/>
    </w:pPr>
    <w:rPr/>
  </w:style>
  <w:style w:type="paragraph" w:styleId="DropCap">
    <w:name w:val="Drop Cap"/>
    <w:basedOn w:val="BodyText"/>
    <w:qFormat/>
    <w:pPr>
      <w:spacing w:before="0" w:after="0"/>
      <w:ind w:firstLine="363"/>
    </w:pPr>
    <w:rPr/>
  </w:style>
  <w:style w:type="paragraph" w:styleId="DropCaptoQuote">
    <w:name w:val="Drop Cap to Quote"/>
    <w:basedOn w:val="DropCap"/>
    <w:qFormat/>
    <w:pPr/>
    <w:rPr/>
  </w:style>
  <w:style w:type="paragraph" w:styleId="TableContents">
    <w:name w:val="Table Contents"/>
    <w:basedOn w:val="Normal"/>
    <w:qFormat/>
    <w:pPr>
      <w:widowControl w:val="false"/>
      <w:suppressLineNumbers/>
    </w:pPr>
    <w:rPr/>
  </w:style>
  <w:style w:type="paragraph" w:styleId="BlockQuote11">
    <w:name w:val="Block Quote 1"/>
    <w:basedOn w:val="BlockQuotation"/>
    <w:next w:val="BlockQuote-End"/>
    <w:qFormat/>
    <w:pPr>
      <w:spacing w:lineRule="auto" w:line="276" w:before="0" w:after="0"/>
      <w:ind w:start="363" w:end="363"/>
      <w:jc w:val="both"/>
    </w:pPr>
    <w:rPr>
      <w:rFonts w:ascii="Adobe Garamond Pro" w:hAnsi="Adobe Garamond Pro"/>
      <w:sz w:val="19"/>
      <w:lang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284</TotalTime>
  <Application>LibreOffice/7.6.4.1$Windows_X86_64 LibreOffice_project/e19e193f88cd6c0525a17fb7a176ed8e6a3e2aa1</Application>
  <AppVersion>15.0000</AppVersion>
  <Pages>3</Pages>
  <Words>942</Words>
  <Characters>4604</Characters>
  <CharactersWithSpaces>5589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2023-12-18T08:46:20Z</dcterms:created>
  <dc:creator>Joseph Smith, fils</dc:creator>
  <dc:description/>
  <dc:language>en-US</dc:language>
  <cp:lastModifiedBy>Joseph Smith, fils</cp:lastModifiedBy>
  <dcterms:modified xsi:type="dcterms:W3CDTF">2023-12-18T13:09:15Z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